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31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Last updated: </w:t>
      </w:r>
      <w:r>
        <w:rPr>
          <w:sz w:val="22"/>
        </w:rPr>
        <w:t>29</w:t>
      </w:r>
      <w:r>
        <w:rPr>
          <w:position w:val="8"/>
          <w:sz w:val="14"/>
        </w:rPr>
        <w:t>th </w:t>
      </w:r>
      <w:r>
        <w:rPr>
          <w:sz w:val="22"/>
        </w:rPr>
        <w:t>March 2021</w:t>
      </w:r>
    </w:p>
    <w:p>
      <w:pPr>
        <w:spacing w:line="256" w:lineRule="auto" w:before="17"/>
        <w:ind w:left="3235" w:right="3263" w:hanging="3195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Covid 19 Framework for a return to boating activity in Northern Ireland Step 2 Guidance</w:t>
      </w:r>
    </w:p>
    <w:p>
      <w:pPr>
        <w:spacing w:after="0" w:line="256" w:lineRule="auto"/>
        <w:jc w:val="left"/>
        <w:rPr>
          <w:sz w:val="28"/>
        </w:rPr>
        <w:sectPr>
          <w:headerReference w:type="default" r:id="rId5"/>
          <w:type w:val="continuous"/>
          <w:pgSz w:w="16840" w:h="11910" w:orient="landscape"/>
          <w:pgMar w:header="708" w:top="1940" w:bottom="280" w:left="1320" w:right="1000"/>
          <w:cols w:num="2" w:equalWidth="0">
            <w:col w:w="2882" w:space="40"/>
            <w:col w:w="11598"/>
          </w:cols>
        </w:sect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3178"/>
        <w:gridCol w:w="3108"/>
        <w:gridCol w:w="2821"/>
        <w:gridCol w:w="2948"/>
      </w:tblGrid>
      <w:tr>
        <w:trPr>
          <w:trHeight w:val="379" w:hRule="exact"/>
        </w:trPr>
        <w:tc>
          <w:tcPr>
            <w:tcW w:w="2211" w:type="dxa"/>
            <w:vMerge w:val="restart"/>
            <w:shd w:val="clear" w:color="auto" w:fill="A80000"/>
          </w:tcPr>
          <w:p>
            <w:pPr/>
          </w:p>
        </w:tc>
        <w:tc>
          <w:tcPr>
            <w:tcW w:w="12055" w:type="dxa"/>
            <w:gridSpan w:val="4"/>
            <w:shd w:val="clear" w:color="auto" w:fill="A80000"/>
          </w:tcPr>
          <w:p>
            <w:pPr>
              <w:pStyle w:val="TableParagraph"/>
              <w:spacing w:before="3"/>
              <w:ind w:left="5640" w:right="5638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Step 2</w:t>
            </w:r>
          </w:p>
        </w:tc>
      </w:tr>
      <w:tr>
        <w:trPr>
          <w:trHeight w:val="478" w:hRule="exact"/>
        </w:trPr>
        <w:tc>
          <w:tcPr>
            <w:tcW w:w="2211" w:type="dxa"/>
            <w:vMerge/>
            <w:shd w:val="clear" w:color="auto" w:fill="A80000"/>
          </w:tcPr>
          <w:p>
            <w:pPr/>
          </w:p>
        </w:tc>
        <w:tc>
          <w:tcPr>
            <w:tcW w:w="3178" w:type="dxa"/>
            <w:shd w:val="clear" w:color="auto" w:fill="A80000"/>
          </w:tcPr>
          <w:p>
            <w:pPr>
              <w:pStyle w:val="TableParagraph"/>
              <w:spacing w:line="292" w:lineRule="exact"/>
              <w:ind w:left="1180" w:right="11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Phase 2</w:t>
            </w:r>
          </w:p>
        </w:tc>
        <w:tc>
          <w:tcPr>
            <w:tcW w:w="3108" w:type="dxa"/>
            <w:shd w:val="clear" w:color="auto" w:fill="A80000"/>
          </w:tcPr>
          <w:p>
            <w:pPr>
              <w:pStyle w:val="TableParagraph"/>
              <w:spacing w:line="292" w:lineRule="exact"/>
              <w:ind w:left="1072" w:right="107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Phase 2A</w:t>
            </w:r>
          </w:p>
        </w:tc>
        <w:tc>
          <w:tcPr>
            <w:tcW w:w="2821" w:type="dxa"/>
            <w:shd w:val="clear" w:color="auto" w:fill="A80000"/>
          </w:tcPr>
          <w:p>
            <w:pPr>
              <w:pStyle w:val="TableParagraph"/>
              <w:spacing w:line="292" w:lineRule="exact"/>
              <w:ind w:left="912"/>
              <w:rPr>
                <w:b/>
                <w:sz w:val="16"/>
              </w:rPr>
            </w:pPr>
            <w:r>
              <w:rPr>
                <w:b/>
                <w:color w:val="FFFFFF"/>
                <w:sz w:val="24"/>
              </w:rPr>
              <w:t>Phase 2B</w:t>
            </w:r>
            <w:r>
              <w:rPr>
                <w:b/>
                <w:color w:val="FFFFFF"/>
                <w:position w:val="8"/>
                <w:sz w:val="16"/>
              </w:rPr>
              <w:t>1</w:t>
            </w:r>
          </w:p>
        </w:tc>
        <w:tc>
          <w:tcPr>
            <w:tcW w:w="2948" w:type="dxa"/>
            <w:shd w:val="clear" w:color="auto" w:fill="A80000"/>
          </w:tcPr>
          <w:p>
            <w:pPr>
              <w:pStyle w:val="TableParagraph"/>
              <w:spacing w:line="292" w:lineRule="exact"/>
              <w:ind w:left="1002" w:right="10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Phase 2C</w:t>
            </w:r>
          </w:p>
        </w:tc>
      </w:tr>
      <w:tr>
        <w:trPr>
          <w:trHeight w:val="312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Starting Date</w:t>
            </w:r>
          </w:p>
        </w:tc>
        <w:tc>
          <w:tcPr>
            <w:tcW w:w="3178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position w:val="5"/>
                <w:sz w:val="10"/>
              </w:rPr>
              <w:t>st </w:t>
            </w:r>
            <w:r>
              <w:rPr>
                <w:b/>
                <w:sz w:val="16"/>
              </w:rPr>
              <w:t>April</w:t>
            </w:r>
          </w:p>
        </w:tc>
        <w:tc>
          <w:tcPr>
            <w:tcW w:w="3108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position w:val="5"/>
                <w:sz w:val="10"/>
              </w:rPr>
              <w:t>th </w:t>
            </w:r>
            <w:r>
              <w:rPr>
                <w:b/>
                <w:sz w:val="16"/>
              </w:rPr>
              <w:t>April (indicative)</w:t>
            </w:r>
          </w:p>
        </w:tc>
        <w:tc>
          <w:tcPr>
            <w:tcW w:w="2821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 Be Advised</w:t>
            </w:r>
          </w:p>
        </w:tc>
        <w:tc>
          <w:tcPr>
            <w:tcW w:w="2948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 be advised</w:t>
            </w:r>
          </w:p>
        </w:tc>
      </w:tr>
      <w:tr>
        <w:trPr>
          <w:trHeight w:val="401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Travel</w:t>
            </w:r>
          </w:p>
        </w:tc>
        <w:tc>
          <w:tcPr>
            <w:tcW w:w="317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Advice is to ‘Stay Local’</w:t>
            </w:r>
          </w:p>
        </w:tc>
        <w:tc>
          <w:tcPr>
            <w:tcW w:w="310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Advice is to ‘Stay Local’</w:t>
            </w:r>
          </w:p>
        </w:tc>
        <w:tc>
          <w:tcPr>
            <w:tcW w:w="2821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To be advised</w:t>
            </w:r>
          </w:p>
        </w:tc>
        <w:tc>
          <w:tcPr>
            <w:tcW w:w="294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To be advised</w:t>
            </w:r>
          </w:p>
        </w:tc>
      </w:tr>
      <w:tr>
        <w:trPr>
          <w:trHeight w:val="2549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Organised Activity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color w:val="FFFFFF"/>
                <w:sz w:val="14"/>
              </w:rPr>
              <w:t>Sailing, windsurfing or powerboating formally organised by an RYA affiliated club or recognised training centre.</w:t>
            </w:r>
          </w:p>
        </w:tc>
        <w:tc>
          <w:tcPr>
            <w:tcW w:w="3178" w:type="dxa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Recreational outdoor activity permitted for maximum 10 people from 2 households (2:10 rule), following risk assessment and PHA guidance.</w:t>
            </w: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right="468"/>
              <w:rPr>
                <w:sz w:val="16"/>
              </w:rPr>
            </w:pPr>
            <w:r>
              <w:rPr>
                <w:sz w:val="16"/>
              </w:rPr>
              <w:t>No mixing allowed between groups and social distancing maintained.</w:t>
            </w:r>
          </w:p>
          <w:p>
            <w:pPr>
              <w:pStyle w:val="TableParagraph"/>
              <w:spacing w:before="1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sz w:val="16"/>
              </w:rPr>
              <w:t>Activity on multi-handed craft from 2 different households permitted.  Maximum 10 onboard and on deck, only where 2 metres social distancing can be adhered to at all times.</w:t>
            </w:r>
          </w:p>
        </w:tc>
        <w:tc>
          <w:tcPr>
            <w:tcW w:w="3108" w:type="dxa"/>
          </w:tcPr>
          <w:p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>Maximum 15 participants in any single group for purposes of organised training. (inclusive of coaches, safety etc)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right="399"/>
              <w:rPr>
                <w:sz w:val="16"/>
              </w:rPr>
            </w:pPr>
            <w:r>
              <w:rPr>
                <w:sz w:val="16"/>
              </w:rPr>
              <w:t>No mixing allowed between groups and social distancing maintained.</w:t>
            </w:r>
          </w:p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Activity on multi-handed craft from 2 different households permitted. Maximum 10 onboard and on deck, only where 2 metres social distancing can be adhered to at all times.</w:t>
            </w:r>
          </w:p>
        </w:tc>
        <w:tc>
          <w:tcPr>
            <w:tcW w:w="2821" w:type="dxa"/>
          </w:tcPr>
          <w:p>
            <w:pPr>
              <w:pStyle w:val="TableParagraph"/>
              <w:ind w:right="145"/>
              <w:jc w:val="both"/>
              <w:rPr>
                <w:sz w:val="16"/>
              </w:rPr>
            </w:pPr>
            <w:r>
              <w:rPr>
                <w:sz w:val="16"/>
              </w:rPr>
              <w:t>Increase in numbers permitted, groups may come together to maximum 30 for purpose of organised training</w:t>
            </w:r>
          </w:p>
          <w:p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ind w:right="272"/>
              <w:rPr>
                <w:sz w:val="16"/>
              </w:rPr>
            </w:pPr>
            <w:r>
              <w:rPr>
                <w:sz w:val="16"/>
              </w:rPr>
              <w:t>Activity on multi-handed craft from 2 different households permitted.</w:t>
            </w:r>
          </w:p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Maximum 10 onboard and on deck, only where 2 metres social distancing can be adhered to and any contact (less 2 metres) is brief.</w:t>
            </w:r>
          </w:p>
        </w:tc>
        <w:tc>
          <w:tcPr>
            <w:tcW w:w="2948" w:type="dxa"/>
          </w:tcPr>
          <w:p>
            <w:pPr>
              <w:pStyle w:val="TableParagraph"/>
              <w:ind w:right="316"/>
              <w:rPr>
                <w:sz w:val="16"/>
              </w:rPr>
            </w:pPr>
            <w:r>
              <w:rPr>
                <w:sz w:val="16"/>
              </w:rPr>
              <w:t>Increase in numbers permitted – to be advised.</w:t>
            </w: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Mixed household guidance for sailing and racing applies</w:t>
            </w:r>
          </w:p>
        </w:tc>
      </w:tr>
      <w:tr>
        <w:trPr>
          <w:trHeight w:val="1964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Recreational Activity</w:t>
            </w:r>
          </w:p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right="311"/>
              <w:rPr>
                <w:sz w:val="14"/>
              </w:rPr>
            </w:pPr>
            <w:r>
              <w:rPr>
                <w:color w:val="FFFFFF"/>
                <w:sz w:val="14"/>
              </w:rPr>
              <w:t>Activity falling outside the definition of organised activity.</w:t>
            </w:r>
          </w:p>
        </w:tc>
        <w:tc>
          <w:tcPr>
            <w:tcW w:w="3178" w:type="dxa"/>
          </w:tcPr>
          <w:p>
            <w:pPr>
              <w:pStyle w:val="TableParagraph"/>
              <w:ind w:right="88"/>
              <w:rPr>
                <w:sz w:val="10"/>
              </w:rPr>
            </w:pPr>
            <w:r>
              <w:rPr>
                <w:sz w:val="16"/>
              </w:rPr>
              <w:t>Sailing, Windsurfing, Powerboating for maximum 10 people from 2 households (2:10 rule), permitted from Affiliated Clubs and Centres.</w:t>
            </w:r>
            <w:r>
              <w:rPr>
                <w:position w:val="5"/>
                <w:sz w:val="10"/>
              </w:rPr>
              <w:t>2</w:t>
            </w:r>
          </w:p>
          <w:p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right="108"/>
              <w:rPr>
                <w:sz w:val="16"/>
              </w:rPr>
            </w:pPr>
            <w:r>
              <w:rPr>
                <w:sz w:val="16"/>
              </w:rPr>
              <w:t>Activity on multi-handed craft from 2 different households permitted.  Maximum 10 onboard and on deck, only where 2 metres social distancing can be adhered to at all times.</w:t>
            </w:r>
          </w:p>
        </w:tc>
        <w:tc>
          <w:tcPr>
            <w:tcW w:w="310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2:10 rule applies.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Activity on multi-handed craft from 2 different households permitted. Maximum 10 onboard and on deck, only where 2 metres social distancing can be adhered to at all times.</w:t>
            </w:r>
          </w:p>
        </w:tc>
        <w:tc>
          <w:tcPr>
            <w:tcW w:w="2821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2:10 rule applies.</w:t>
            </w:r>
          </w:p>
          <w:p>
            <w:pPr>
              <w:pStyle w:val="TableParagraph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ind w:right="272"/>
              <w:rPr>
                <w:sz w:val="16"/>
              </w:rPr>
            </w:pPr>
            <w:r>
              <w:rPr>
                <w:sz w:val="16"/>
              </w:rPr>
              <w:t>Activity on multi-handed craft from 2 different households permitted.</w:t>
            </w:r>
          </w:p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Maximum 10 onboard and on deck, only where 2 metres social distancing can be adhered to and any contact (less 2 metres) is brief</w:t>
            </w:r>
          </w:p>
        </w:tc>
        <w:tc>
          <w:tcPr>
            <w:tcW w:w="2948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Mixed household guidance for sailing and racing applies</w:t>
            </w:r>
          </w:p>
        </w:tc>
      </w:tr>
    </w:tbl>
    <w:p>
      <w:pPr>
        <w:pStyle w:val="BodyText"/>
        <w:spacing w:before="3"/>
        <w:rPr>
          <w:b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72pt,18.360001pt" to="216.02pt,18.360001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line="195" w:lineRule="exact" w:before="70"/>
        <w:ind w:left="120"/>
      </w:pPr>
      <w:r>
        <w:rPr>
          <w:position w:val="5"/>
          <w:sz w:val="10"/>
        </w:rPr>
        <w:t>1 </w:t>
      </w:r>
      <w:r>
        <w:rPr/>
        <w:t>To be confirmed when further guidance is released</w:t>
      </w:r>
    </w:p>
    <w:p>
      <w:pPr>
        <w:pStyle w:val="BodyText"/>
        <w:ind w:left="120" w:right="564"/>
      </w:pPr>
      <w:r>
        <w:rPr>
          <w:position w:val="5"/>
          <w:sz w:val="10"/>
        </w:rPr>
        <w:t>2 </w:t>
      </w:r>
      <w:r>
        <w:rPr/>
        <w:t>Where there is a representative organisation that regulates providing advice and guidance to members / clubs on matters relating to sport and physical activities. These organisations should take responsibility for the activities listed against Governing Bodies.</w:t>
      </w:r>
    </w:p>
    <w:p>
      <w:pPr>
        <w:spacing w:after="0"/>
        <w:sectPr>
          <w:type w:val="continuous"/>
          <w:pgSz w:w="16840" w:h="11910" w:orient="landscape"/>
          <w:pgMar w:top="1940" w:bottom="280" w:left="1320" w:right="1000"/>
        </w:sectPr>
      </w:pPr>
    </w:p>
    <w:tbl>
      <w:tblPr>
        <w:tblW w:w="0" w:type="auto"/>
        <w:jc w:val="left"/>
        <w:tblInd w:w="12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3178"/>
        <w:gridCol w:w="3108"/>
        <w:gridCol w:w="2821"/>
        <w:gridCol w:w="2948"/>
      </w:tblGrid>
      <w:tr>
        <w:trPr>
          <w:trHeight w:val="1181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Shore-based courses</w:t>
            </w:r>
          </w:p>
        </w:tc>
        <w:tc>
          <w:tcPr>
            <w:tcW w:w="317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Classroom-based courses to remain online.</w:t>
            </w:r>
          </w:p>
        </w:tc>
        <w:tc>
          <w:tcPr>
            <w:tcW w:w="3108" w:type="dxa"/>
          </w:tcPr>
          <w:p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Classroom-based courses to remain online where possible.</w:t>
            </w:r>
          </w:p>
          <w:p>
            <w:pPr>
              <w:pStyle w:val="TableParagraph"/>
              <w:spacing w:before="11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‘Face to face’ limited to outdoors and only</w:t>
            </w:r>
          </w:p>
          <w:p>
            <w:pPr>
              <w:pStyle w:val="TableParagraph"/>
              <w:spacing w:before="1"/>
              <w:rPr>
                <w:sz w:val="10"/>
              </w:rPr>
            </w:pPr>
            <w:r>
              <w:rPr>
                <w:sz w:val="16"/>
              </w:rPr>
              <w:t>where an essential part of the course</w:t>
            </w:r>
            <w:r>
              <w:rPr>
                <w:position w:val="5"/>
                <w:sz w:val="10"/>
              </w:rPr>
              <w:t>3</w:t>
            </w:r>
          </w:p>
        </w:tc>
        <w:tc>
          <w:tcPr>
            <w:tcW w:w="2821" w:type="dxa"/>
          </w:tcPr>
          <w:p>
            <w:pPr>
              <w:pStyle w:val="TableParagraph"/>
              <w:ind w:right="272"/>
              <w:rPr>
                <w:sz w:val="16"/>
              </w:rPr>
            </w:pPr>
            <w:r>
              <w:rPr>
                <w:sz w:val="16"/>
              </w:rPr>
              <w:t>Classroom-based courses to remain online where possible.</w:t>
            </w:r>
          </w:p>
          <w:p>
            <w:pPr>
              <w:pStyle w:val="TableParagraph"/>
              <w:spacing w:before="11"/>
              <w:ind w:left="0"/>
              <w:rPr>
                <w:sz w:val="15"/>
              </w:rPr>
            </w:pPr>
          </w:p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‘Face to face’ limited to outdoors and only where an essential part of the course</w:t>
            </w:r>
          </w:p>
        </w:tc>
        <w:tc>
          <w:tcPr>
            <w:tcW w:w="2948" w:type="dxa"/>
          </w:tcPr>
          <w:p>
            <w:pPr>
              <w:pStyle w:val="TableParagraph"/>
              <w:ind w:right="316"/>
              <w:rPr>
                <w:sz w:val="16"/>
              </w:rPr>
            </w:pPr>
            <w:r>
              <w:rPr>
                <w:sz w:val="16"/>
              </w:rPr>
              <w:t>Classroom-based courses to remain online where possible.</w:t>
            </w:r>
          </w:p>
          <w:p>
            <w:pPr>
              <w:pStyle w:val="TableParagraph"/>
              <w:spacing w:before="11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‘Face to face’ limited to outdoors and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only where an essential part of the course</w:t>
            </w:r>
          </w:p>
        </w:tc>
      </w:tr>
      <w:tr>
        <w:trPr>
          <w:trHeight w:val="1066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Sailing events</w:t>
            </w:r>
          </w:p>
        </w:tc>
        <w:tc>
          <w:tcPr>
            <w:tcW w:w="317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3108" w:type="dxa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2821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2948" w:type="dxa"/>
          </w:tcPr>
          <w:p>
            <w:pPr>
              <w:pStyle w:val="TableParagraph"/>
              <w:spacing w:line="256" w:lineRule="auto" w:before="3"/>
              <w:ind w:right="634"/>
              <w:rPr>
                <w:sz w:val="16"/>
              </w:rPr>
            </w:pPr>
            <w:r>
              <w:rPr>
                <w:sz w:val="16"/>
              </w:rPr>
              <w:t>Permitted with no spectators and essential personnel only.</w:t>
            </w:r>
          </w:p>
          <w:p>
            <w:pPr>
              <w:pStyle w:val="TableParagraph"/>
              <w:spacing w:before="5"/>
              <w:ind w:left="0"/>
              <w:rPr>
                <w:sz w:val="17"/>
              </w:rPr>
            </w:pPr>
          </w:p>
          <w:p>
            <w:pPr>
              <w:pStyle w:val="TableParagraph"/>
              <w:spacing w:line="259" w:lineRule="auto" w:before="1"/>
              <w:ind w:right="370"/>
              <w:rPr>
                <w:sz w:val="16"/>
              </w:rPr>
            </w:pPr>
            <w:r>
              <w:rPr>
                <w:sz w:val="16"/>
              </w:rPr>
              <w:t>Club Racing and small regional events may take place.</w:t>
            </w:r>
          </w:p>
        </w:tc>
      </w:tr>
      <w:tr>
        <w:trPr>
          <w:trHeight w:val="790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Safety</w:t>
            </w:r>
          </w:p>
        </w:tc>
        <w:tc>
          <w:tcPr>
            <w:tcW w:w="3178" w:type="dxa"/>
          </w:tcPr>
          <w:p>
            <w:pPr>
              <w:pStyle w:val="TableParagraph"/>
              <w:ind w:right="240"/>
              <w:rPr>
                <w:sz w:val="16"/>
              </w:rPr>
            </w:pPr>
            <w:r>
              <w:rPr>
                <w:sz w:val="16"/>
              </w:rPr>
              <w:t>Safety cover cannot be expected, participants should know their limits; look after themselves; keep in touch and, above all, have a plan;</w:t>
            </w:r>
          </w:p>
        </w:tc>
        <w:tc>
          <w:tcPr>
            <w:tcW w:w="3108" w:type="dxa"/>
          </w:tcPr>
          <w:p>
            <w:pPr>
              <w:pStyle w:val="TableParagraph"/>
              <w:ind w:right="149"/>
              <w:rPr>
                <w:sz w:val="16"/>
              </w:rPr>
            </w:pPr>
            <w:r>
              <w:rPr>
                <w:sz w:val="16"/>
              </w:rPr>
              <w:t>Safety recovery mitigations in place to prevent contact unless absolutely necessary. PPE available. Safety personnel included in group size</w:t>
            </w:r>
          </w:p>
        </w:tc>
        <w:tc>
          <w:tcPr>
            <w:tcW w:w="2821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Safety recovery mitigations in place to prevent contact unless absolutely necessary. PPE available. Safety personnel included in group size</w:t>
            </w:r>
          </w:p>
        </w:tc>
        <w:tc>
          <w:tcPr>
            <w:tcW w:w="2948" w:type="dxa"/>
          </w:tcPr>
          <w:p>
            <w:pPr>
              <w:pStyle w:val="TableParagraph"/>
              <w:ind w:right="330"/>
              <w:rPr>
                <w:sz w:val="16"/>
              </w:rPr>
            </w:pPr>
            <w:r>
              <w:rPr>
                <w:sz w:val="16"/>
              </w:rPr>
              <w:t>Safety recovery mitigations in place to prevent contact unless absolutely necessary. PPE available. Safety personnel included in any group size</w:t>
            </w:r>
          </w:p>
        </w:tc>
      </w:tr>
      <w:tr>
        <w:trPr>
          <w:trHeight w:val="2746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Facilities</w:t>
            </w:r>
          </w:p>
        </w:tc>
        <w:tc>
          <w:tcPr>
            <w:tcW w:w="317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Outdoor facilities access permitted.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Indoor facilities remain closed except for emergencies and limited access to toilet and storage facilities.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right="142"/>
              <w:rPr>
                <w:sz w:val="16"/>
              </w:rPr>
            </w:pPr>
            <w:r>
              <w:rPr>
                <w:sz w:val="16"/>
              </w:rPr>
              <w:t>Multiple groups of up to 10 people from two households is permitted, provided they are separate and distinct groups. Zoning may be required and clear guidance for entry/ exit and concourse areas (e.g. ramps, pontoons).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right="434"/>
              <w:rPr>
                <w:sz w:val="16"/>
              </w:rPr>
            </w:pPr>
            <w:r>
              <w:rPr>
                <w:sz w:val="16"/>
              </w:rPr>
              <w:t>Site capacity is significantly reduced and managed.</w:t>
            </w:r>
          </w:p>
        </w:tc>
        <w:tc>
          <w:tcPr>
            <w:tcW w:w="310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Outdoor facilities access permitted.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Indoor facilities remain closed except for emergencies and limited access to toilet and storage facilities.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right="141"/>
              <w:rPr>
                <w:sz w:val="16"/>
              </w:rPr>
            </w:pPr>
            <w:r>
              <w:rPr>
                <w:sz w:val="16"/>
              </w:rPr>
              <w:t>Onsite numbers limited in clearly defined groups based on permitted numbers and to enable social distancing at all times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right="365"/>
              <w:rPr>
                <w:sz w:val="16"/>
              </w:rPr>
            </w:pPr>
            <w:r>
              <w:rPr>
                <w:sz w:val="16"/>
              </w:rPr>
              <w:t>Site capacity is significantly reduced and managed.</w:t>
            </w:r>
          </w:p>
        </w:tc>
        <w:tc>
          <w:tcPr>
            <w:tcW w:w="2821" w:type="dxa"/>
          </w:tcPr>
          <w:p>
            <w:pPr>
              <w:pStyle w:val="TableParagraph"/>
              <w:spacing w:before="1"/>
              <w:jc w:val="both"/>
              <w:rPr>
                <w:sz w:val="16"/>
              </w:rPr>
            </w:pPr>
            <w:r>
              <w:rPr>
                <w:sz w:val="16"/>
              </w:rPr>
              <w:t>Outdoor facilities access permitted.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right="255"/>
              <w:jc w:val="both"/>
              <w:rPr>
                <w:sz w:val="16"/>
              </w:rPr>
            </w:pPr>
            <w:r>
              <w:rPr>
                <w:sz w:val="16"/>
              </w:rPr>
              <w:t>Indoor facilities remain closed except for emergencies and limited access to toilet and storage facilities.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jc w:val="both"/>
              <w:rPr>
                <w:sz w:val="16"/>
              </w:rPr>
            </w:pPr>
            <w:r>
              <w:rPr>
                <w:sz w:val="16"/>
              </w:rPr>
              <w:t>Site capacity is reduced and managed.</w:t>
            </w:r>
          </w:p>
        </w:tc>
        <w:tc>
          <w:tcPr>
            <w:tcW w:w="2948" w:type="dxa"/>
          </w:tcPr>
          <w:p>
            <w:pPr>
              <w:pStyle w:val="TableParagraph"/>
              <w:spacing w:before="1"/>
              <w:jc w:val="both"/>
              <w:rPr>
                <w:sz w:val="16"/>
              </w:rPr>
            </w:pPr>
            <w:r>
              <w:rPr>
                <w:sz w:val="16"/>
              </w:rPr>
              <w:t>Outdoor facilities access permitted.</w:t>
            </w:r>
          </w:p>
          <w:p>
            <w:pPr>
              <w:pStyle w:val="TableParagraph"/>
              <w:spacing w:before="10"/>
              <w:ind w:left="0"/>
              <w:rPr>
                <w:sz w:val="15"/>
              </w:rPr>
            </w:pPr>
          </w:p>
          <w:p>
            <w:pPr>
              <w:pStyle w:val="TableParagraph"/>
              <w:ind w:right="185"/>
              <w:jc w:val="both"/>
              <w:rPr>
                <w:sz w:val="16"/>
              </w:rPr>
            </w:pPr>
            <w:r>
              <w:rPr>
                <w:sz w:val="16"/>
              </w:rPr>
              <w:t>Indoor facilities remain closed except for emergencies and limited access to toilet and storage facilities.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jc w:val="both"/>
              <w:rPr>
                <w:sz w:val="16"/>
              </w:rPr>
            </w:pPr>
            <w:r>
              <w:rPr>
                <w:sz w:val="16"/>
              </w:rPr>
              <w:t>Site capacity is reduced and managed.</w:t>
            </w:r>
          </w:p>
        </w:tc>
      </w:tr>
      <w:tr>
        <w:trPr>
          <w:trHeight w:val="430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Changing rooms</w:t>
            </w:r>
          </w:p>
        </w:tc>
        <w:tc>
          <w:tcPr>
            <w:tcW w:w="317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Closed, except for emergency access</w:t>
            </w:r>
          </w:p>
        </w:tc>
        <w:tc>
          <w:tcPr>
            <w:tcW w:w="310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Closed, except for emergency access</w:t>
            </w:r>
          </w:p>
        </w:tc>
        <w:tc>
          <w:tcPr>
            <w:tcW w:w="2821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Closed, except for emergency access</w:t>
            </w:r>
          </w:p>
        </w:tc>
        <w:tc>
          <w:tcPr>
            <w:tcW w:w="2948" w:type="dxa"/>
          </w:tcPr>
          <w:p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Closed, except for emergency access</w:t>
            </w:r>
          </w:p>
        </w:tc>
      </w:tr>
      <w:tr>
        <w:trPr>
          <w:trHeight w:val="367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Hospitality</w:t>
            </w:r>
          </w:p>
        </w:tc>
        <w:tc>
          <w:tcPr>
            <w:tcW w:w="317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310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2821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  <w:tc>
          <w:tcPr>
            <w:tcW w:w="2948" w:type="dxa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Closed</w:t>
            </w:r>
          </w:p>
        </w:tc>
      </w:tr>
      <w:tr>
        <w:trPr>
          <w:trHeight w:val="368" w:hRule="exact"/>
        </w:trPr>
        <w:tc>
          <w:tcPr>
            <w:tcW w:w="2211" w:type="dxa"/>
            <w:shd w:val="clear" w:color="auto" w:fill="8495AF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z w:val="20"/>
              </w:rPr>
              <w:t>Overnight Stays</w:t>
            </w:r>
          </w:p>
        </w:tc>
        <w:tc>
          <w:tcPr>
            <w:tcW w:w="3178" w:type="dxa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No overnight stays</w:t>
            </w:r>
          </w:p>
        </w:tc>
        <w:tc>
          <w:tcPr>
            <w:tcW w:w="3108" w:type="dxa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No overnight stays</w:t>
            </w:r>
          </w:p>
        </w:tc>
        <w:tc>
          <w:tcPr>
            <w:tcW w:w="2821" w:type="dxa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No overnight stays</w:t>
            </w:r>
          </w:p>
        </w:tc>
        <w:tc>
          <w:tcPr>
            <w:tcW w:w="2948" w:type="dxa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No overnight stays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72pt,14.407875pt" to="216.02pt,14.407875pt" stroked="true" strokeweight=".72pt" strokecolor="#000000">
            <v:stroke dashstyle="solid"/>
            <w10:wrap type="topAndBottom"/>
          </v:line>
        </w:pict>
      </w:r>
    </w:p>
    <w:p>
      <w:pPr>
        <w:spacing w:before="70"/>
        <w:ind w:left="120" w:right="0" w:firstLine="0"/>
        <w:jc w:val="left"/>
        <w:rPr>
          <w:sz w:val="14"/>
        </w:rPr>
      </w:pPr>
      <w:r>
        <w:rPr>
          <w:position w:val="4"/>
          <w:sz w:val="9"/>
        </w:rPr>
        <w:t>3 </w:t>
      </w:r>
      <w:r>
        <w:rPr>
          <w:sz w:val="14"/>
        </w:rPr>
        <w:t>Only where a risk assessment has been completed that meets certain stipulations</w:t>
      </w:r>
    </w:p>
    <w:sectPr>
      <w:pgSz w:w="16840" w:h="11910" w:orient="landscape"/>
      <w:pgMar w:header="708" w:footer="0" w:top="1960" w:bottom="280" w:left="13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351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1028700" cy="79057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Honeyford</dc:creator>
  <dcterms:created xsi:type="dcterms:W3CDTF">2021-03-30T17:25:16Z</dcterms:created>
  <dcterms:modified xsi:type="dcterms:W3CDTF">2021-03-30T17:25:16Z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2021-03-30T00:00:00Z</vt:filetime>
  </property>
</Properties>
</file>